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FD" w:rsidRPr="00BB74EF" w:rsidRDefault="002B53A6">
      <w:pPr>
        <w:pStyle w:val="Standard"/>
        <w:spacing w:line="440" w:lineRule="exact"/>
        <w:jc w:val="center"/>
        <w:rPr>
          <w:rFonts w:eastAsia="標楷體"/>
          <w:b/>
          <w:bCs/>
          <w:sz w:val="32"/>
        </w:rPr>
      </w:pPr>
      <w:r w:rsidRPr="00BB74EF">
        <w:rPr>
          <w:rFonts w:eastAsia="標楷體"/>
          <w:b/>
          <w:bCs/>
          <w:sz w:val="32"/>
        </w:rPr>
        <w:t>填報各國對</w:t>
      </w:r>
      <w:proofErr w:type="gramStart"/>
      <w:r w:rsidRPr="00BB74EF">
        <w:rPr>
          <w:rFonts w:eastAsia="標楷體"/>
          <w:b/>
          <w:bCs/>
          <w:sz w:val="32"/>
        </w:rPr>
        <w:t>臺</w:t>
      </w:r>
      <w:proofErr w:type="gramEnd"/>
      <w:r w:rsidRPr="00BB74EF">
        <w:rPr>
          <w:rFonts w:eastAsia="標楷體"/>
          <w:b/>
          <w:bCs/>
          <w:sz w:val="32"/>
        </w:rPr>
        <w:t>貿易障礙報告注意事項及相關說明</w:t>
      </w:r>
    </w:p>
    <w:p w:rsidR="00AA2EFD" w:rsidRPr="00BB74EF" w:rsidRDefault="002B53A6" w:rsidP="00BE41E1">
      <w:pPr>
        <w:pStyle w:val="Standard"/>
        <w:spacing w:beforeLines="100" w:before="387" w:afterLines="50" w:after="193" w:line="400" w:lineRule="exact"/>
        <w:jc w:val="both"/>
      </w:pPr>
      <w:r w:rsidRPr="00BB74EF">
        <w:rPr>
          <w:rFonts w:eastAsia="標楷體"/>
          <w:b/>
          <w:sz w:val="32"/>
        </w:rPr>
        <w:t>一、</w:t>
      </w:r>
      <w:r w:rsidRPr="00BB74EF">
        <w:rPr>
          <w:rFonts w:eastAsia="標楷體"/>
          <w:sz w:val="32"/>
        </w:rPr>
        <w:t>本局編撰「各國對</w:t>
      </w:r>
      <w:proofErr w:type="gramStart"/>
      <w:r w:rsidRPr="00BB74EF">
        <w:rPr>
          <w:rFonts w:eastAsia="標楷體"/>
          <w:sz w:val="32"/>
        </w:rPr>
        <w:t>臺</w:t>
      </w:r>
      <w:proofErr w:type="gramEnd"/>
      <w:r w:rsidRPr="00BB74EF">
        <w:rPr>
          <w:rFonts w:eastAsia="標楷體"/>
          <w:sz w:val="32"/>
        </w:rPr>
        <w:t>貿易障礙報告」原因及要旨：</w:t>
      </w:r>
    </w:p>
    <w:p w:rsidR="00AA2EFD" w:rsidRPr="00BB74EF" w:rsidRDefault="002B53A6" w:rsidP="00C66B9E">
      <w:pPr>
        <w:pStyle w:val="Standard"/>
        <w:spacing w:line="400" w:lineRule="exact"/>
        <w:ind w:left="756" w:rightChars="37" w:right="89" w:hanging="475"/>
        <w:jc w:val="both"/>
        <w:rPr>
          <w:rFonts w:eastAsia="標楷體"/>
          <w:color w:val="000000"/>
          <w:sz w:val="28"/>
        </w:rPr>
      </w:pPr>
      <w:r w:rsidRPr="00BB74EF">
        <w:rPr>
          <w:rFonts w:eastAsia="標楷體"/>
          <w:color w:val="000000"/>
          <w:sz w:val="28"/>
        </w:rPr>
        <w:t>(</w:t>
      </w:r>
      <w:proofErr w:type="gramStart"/>
      <w:r w:rsidRPr="00BB74EF">
        <w:rPr>
          <w:rFonts w:eastAsia="標楷體"/>
          <w:color w:val="000000"/>
          <w:sz w:val="28"/>
        </w:rPr>
        <w:t>一</w:t>
      </w:r>
      <w:proofErr w:type="gramEnd"/>
      <w:r w:rsidRPr="00BB74EF">
        <w:rPr>
          <w:rFonts w:eastAsia="標楷體"/>
          <w:color w:val="000000"/>
          <w:sz w:val="28"/>
        </w:rPr>
        <w:t>)</w:t>
      </w:r>
      <w:r w:rsidRPr="00BB74EF">
        <w:rPr>
          <w:rFonts w:eastAsia="標楷體"/>
          <w:color w:val="000000"/>
          <w:sz w:val="28"/>
        </w:rPr>
        <w:t>我國經貿居世界重要地位，如何協助廠商排除經商障礙，維持公平競爭環境，對我國經濟持續發展至關重要，故加強</w:t>
      </w:r>
      <w:proofErr w:type="gramStart"/>
      <w:r w:rsidRPr="00BB74EF">
        <w:rPr>
          <w:rFonts w:eastAsia="標楷體"/>
          <w:color w:val="000000"/>
          <w:sz w:val="28"/>
        </w:rPr>
        <w:t>蒐</w:t>
      </w:r>
      <w:proofErr w:type="gramEnd"/>
      <w:r w:rsidRPr="00BB74EF">
        <w:rPr>
          <w:rFonts w:eastAsia="標楷體"/>
          <w:color w:val="000000"/>
          <w:sz w:val="28"/>
        </w:rPr>
        <w:t>報各國對</w:t>
      </w:r>
      <w:proofErr w:type="gramStart"/>
      <w:r w:rsidRPr="00BB74EF">
        <w:rPr>
          <w:rFonts w:eastAsia="標楷體"/>
          <w:color w:val="000000"/>
          <w:sz w:val="28"/>
        </w:rPr>
        <w:t>臺</w:t>
      </w:r>
      <w:proofErr w:type="gramEnd"/>
      <w:r w:rsidRPr="00BB74EF">
        <w:rPr>
          <w:rFonts w:eastAsia="標楷體"/>
          <w:color w:val="000000"/>
          <w:sz w:val="28"/>
        </w:rPr>
        <w:t>貿易及投資障礙等資料，確有必要。</w:t>
      </w:r>
    </w:p>
    <w:p w:rsidR="00AA2EFD" w:rsidRPr="00BB74EF" w:rsidRDefault="002B53A6" w:rsidP="00C66B9E">
      <w:pPr>
        <w:pStyle w:val="Standard"/>
        <w:spacing w:line="400" w:lineRule="exact"/>
        <w:ind w:left="812" w:hanging="531"/>
        <w:rPr>
          <w:rFonts w:eastAsia="標楷體"/>
          <w:sz w:val="28"/>
        </w:rPr>
      </w:pPr>
      <w:r w:rsidRPr="00BB74EF">
        <w:rPr>
          <w:rFonts w:eastAsia="標楷體"/>
          <w:sz w:val="28"/>
        </w:rPr>
        <w:t>(</w:t>
      </w:r>
      <w:r w:rsidRPr="00BB74EF">
        <w:rPr>
          <w:rFonts w:eastAsia="標楷體"/>
          <w:sz w:val="28"/>
        </w:rPr>
        <w:t>二</w:t>
      </w:r>
      <w:r w:rsidRPr="00BB74EF">
        <w:rPr>
          <w:rFonts w:eastAsia="標楷體"/>
          <w:sz w:val="28"/>
        </w:rPr>
        <w:t xml:space="preserve">) </w:t>
      </w:r>
      <w:r w:rsidRPr="00BB74EF">
        <w:rPr>
          <w:rFonts w:eastAsia="標楷體"/>
          <w:sz w:val="28"/>
        </w:rPr>
        <w:t>先進國家（如美國及歐盟等）在處理產品出口或廠商對外投資遭遇障礙時，多透過</w:t>
      </w:r>
      <w:r w:rsidRPr="00BB74EF">
        <w:rPr>
          <w:rFonts w:eastAsia="標楷體"/>
          <w:sz w:val="28"/>
        </w:rPr>
        <w:t>WTO</w:t>
      </w:r>
      <w:r w:rsidRPr="00BB74EF">
        <w:rPr>
          <w:rFonts w:eastAsia="標楷體"/>
          <w:sz w:val="28"/>
        </w:rPr>
        <w:t>多邊機制及雙邊會議（談）場合，向對手國要求諮商或提出關切，藉以維護國家經貿權益之作法，值得我國參考及學習。</w:t>
      </w:r>
    </w:p>
    <w:p w:rsidR="00AA2EFD" w:rsidRPr="00BB74EF" w:rsidRDefault="002B53A6" w:rsidP="00BE41E1">
      <w:pPr>
        <w:pStyle w:val="Standard"/>
        <w:spacing w:beforeLines="50" w:before="193" w:afterLines="50" w:after="193" w:line="400" w:lineRule="exact"/>
        <w:jc w:val="both"/>
      </w:pPr>
      <w:r w:rsidRPr="00BB74EF">
        <w:rPr>
          <w:rFonts w:eastAsia="標楷體"/>
          <w:b/>
          <w:sz w:val="32"/>
          <w:szCs w:val="32"/>
        </w:rPr>
        <w:t>二、</w:t>
      </w:r>
      <w:r w:rsidRPr="00BB74EF">
        <w:rPr>
          <w:rFonts w:eastAsia="標楷體"/>
          <w:sz w:val="32"/>
          <w:szCs w:val="32"/>
        </w:rPr>
        <w:t>各單位提報貿易障礙資料時應注意事項：</w:t>
      </w:r>
    </w:p>
    <w:p w:rsidR="00AA2EFD" w:rsidRPr="00BB74EF" w:rsidRDefault="002B53A6" w:rsidP="00BE41E1">
      <w:pPr>
        <w:pStyle w:val="Standard"/>
        <w:numPr>
          <w:ilvl w:val="0"/>
          <w:numId w:val="2"/>
        </w:numPr>
        <w:spacing w:line="400" w:lineRule="exact"/>
        <w:jc w:val="both"/>
      </w:pPr>
      <w:r w:rsidRPr="00BB74EF">
        <w:rPr>
          <w:rFonts w:eastAsia="標楷體"/>
          <w:sz w:val="28"/>
        </w:rPr>
        <w:t>把握時效：各</w:t>
      </w:r>
      <w:proofErr w:type="gramStart"/>
      <w:r w:rsidRPr="00BB74EF">
        <w:rPr>
          <w:rFonts w:eastAsia="標楷體"/>
          <w:sz w:val="28"/>
        </w:rPr>
        <w:t>單位均有</w:t>
      </w:r>
      <w:r w:rsidRPr="00BB74EF">
        <w:rPr>
          <w:rFonts w:eastAsia="標楷體"/>
          <w:sz w:val="28"/>
        </w:rPr>
        <w:t>1</w:t>
      </w:r>
      <w:r w:rsidRPr="00BB74EF">
        <w:rPr>
          <w:rFonts w:eastAsia="標楷體"/>
          <w:sz w:val="28"/>
        </w:rPr>
        <w:t>個月</w:t>
      </w:r>
      <w:proofErr w:type="gramEnd"/>
      <w:r w:rsidRPr="00BB74EF">
        <w:rPr>
          <w:rFonts w:eastAsia="標楷體"/>
          <w:sz w:val="28"/>
        </w:rPr>
        <w:t>以上提報</w:t>
      </w:r>
      <w:proofErr w:type="gramStart"/>
      <w:r w:rsidRPr="00BB74EF">
        <w:rPr>
          <w:rFonts w:eastAsia="標楷體"/>
          <w:sz w:val="28"/>
        </w:rPr>
        <w:t>期間，</w:t>
      </w:r>
      <w:proofErr w:type="gramEnd"/>
      <w:r w:rsidRPr="00BB74EF">
        <w:rPr>
          <w:rFonts w:eastAsia="標楷體"/>
          <w:color w:val="000000"/>
          <w:sz w:val="28"/>
        </w:rPr>
        <w:t>請注意回復時效，如未於提報截止時間前回復，請預先以</w:t>
      </w:r>
      <w:proofErr w:type="gramStart"/>
      <w:r w:rsidRPr="00BB74EF">
        <w:rPr>
          <w:rFonts w:eastAsia="標楷體"/>
          <w:color w:val="000000"/>
          <w:sz w:val="28"/>
        </w:rPr>
        <w:t>電郵或函</w:t>
      </w:r>
      <w:proofErr w:type="gramEnd"/>
      <w:r w:rsidRPr="00BB74EF">
        <w:rPr>
          <w:rFonts w:eastAsia="標楷體"/>
          <w:color w:val="000000"/>
          <w:sz w:val="28"/>
        </w:rPr>
        <w:t>文告知原因及可提報時間</w:t>
      </w:r>
      <w:r w:rsidRPr="00BB74EF">
        <w:rPr>
          <w:rFonts w:eastAsia="標楷體"/>
          <w:color w:val="000000"/>
          <w:sz w:val="32"/>
        </w:rPr>
        <w:t>。</w:t>
      </w:r>
    </w:p>
    <w:p w:rsidR="00AA2EFD" w:rsidRPr="00BB74EF" w:rsidRDefault="002B53A6" w:rsidP="00BE41E1">
      <w:pPr>
        <w:pStyle w:val="Standard"/>
        <w:numPr>
          <w:ilvl w:val="0"/>
          <w:numId w:val="2"/>
        </w:numPr>
        <w:spacing w:line="400" w:lineRule="exact"/>
        <w:jc w:val="both"/>
        <w:rPr>
          <w:rFonts w:eastAsia="標楷體"/>
          <w:sz w:val="28"/>
        </w:rPr>
      </w:pPr>
      <w:r w:rsidRPr="00BB74EF">
        <w:rPr>
          <w:rFonts w:eastAsia="標楷體"/>
          <w:sz w:val="28"/>
        </w:rPr>
        <w:t>貿易障礙認定原則：</w:t>
      </w:r>
    </w:p>
    <w:p w:rsidR="00AA2EFD" w:rsidRDefault="002B53A6" w:rsidP="00BE41E1">
      <w:pPr>
        <w:pStyle w:val="Standard"/>
        <w:numPr>
          <w:ilvl w:val="3"/>
          <w:numId w:val="10"/>
        </w:numPr>
        <w:spacing w:line="400" w:lineRule="exact"/>
        <w:ind w:left="1559" w:hanging="482"/>
        <w:jc w:val="both"/>
        <w:rPr>
          <w:rFonts w:eastAsia="標楷體"/>
          <w:sz w:val="28"/>
        </w:rPr>
      </w:pPr>
      <w:r w:rsidRPr="00BB74EF">
        <w:rPr>
          <w:rFonts w:eastAsia="標楷體"/>
          <w:sz w:val="28"/>
        </w:rPr>
        <w:t>一般認定原則：凡轄區（對手）國經貿措施（法律、行政命令）違反</w:t>
      </w:r>
      <w:r w:rsidRPr="00BB74EF">
        <w:rPr>
          <w:rFonts w:eastAsia="標楷體"/>
          <w:sz w:val="28"/>
        </w:rPr>
        <w:t>WTO</w:t>
      </w:r>
      <w:r w:rsidRPr="00BB74EF">
        <w:rPr>
          <w:rFonts w:eastAsia="標楷體"/>
          <w:sz w:val="28"/>
        </w:rPr>
        <w:t>最惠國待遇及國民待遇原則，且對我產品及服務進入該國市場造成不利影響者。</w:t>
      </w:r>
    </w:p>
    <w:p w:rsidR="00AA2EFD" w:rsidRDefault="00BB74EF" w:rsidP="00BE41E1">
      <w:pPr>
        <w:pStyle w:val="Standard"/>
        <w:numPr>
          <w:ilvl w:val="3"/>
          <w:numId w:val="10"/>
        </w:numPr>
        <w:spacing w:line="400" w:lineRule="exact"/>
        <w:ind w:left="1560"/>
        <w:rPr>
          <w:rFonts w:eastAsia="標楷體"/>
          <w:sz w:val="28"/>
        </w:rPr>
      </w:pPr>
      <w:r w:rsidRPr="00BB74EF">
        <w:rPr>
          <w:rFonts w:eastAsia="標楷體"/>
          <w:sz w:val="28"/>
        </w:rPr>
        <w:t>廣義認定原則：轄區（對手）國經貿措施雖未明顯違反前項國際規範、規則及承諾，惟因採用程序或方法不當，致對我產品及服務進入該國市場直接或間接造成不利影響時，亦應一併提報。</w:t>
      </w:r>
    </w:p>
    <w:p w:rsidR="00C66B9E" w:rsidRDefault="00C66B9E" w:rsidP="00BE41E1">
      <w:pPr>
        <w:pStyle w:val="Standard"/>
        <w:numPr>
          <w:ilvl w:val="3"/>
          <w:numId w:val="10"/>
        </w:numPr>
        <w:spacing w:line="400" w:lineRule="exact"/>
        <w:ind w:left="1560"/>
        <w:rPr>
          <w:rFonts w:eastAsia="標楷體"/>
          <w:sz w:val="28"/>
        </w:rPr>
      </w:pPr>
      <w:r>
        <w:rPr>
          <w:rFonts w:eastAsia="標楷體"/>
          <w:sz w:val="28"/>
        </w:rPr>
        <w:t>其他參考原則</w:t>
      </w:r>
      <w:r w:rsidRPr="00BB74EF">
        <w:rPr>
          <w:rFonts w:eastAsia="標楷體"/>
          <w:sz w:val="28"/>
        </w:rPr>
        <w:t>：</w:t>
      </w:r>
    </w:p>
    <w:p w:rsidR="00C66B9E" w:rsidRDefault="00C66B9E" w:rsidP="00C66B9E">
      <w:pPr>
        <w:pStyle w:val="Standard"/>
        <w:numPr>
          <w:ilvl w:val="0"/>
          <w:numId w:val="15"/>
        </w:numPr>
        <w:spacing w:line="400" w:lineRule="exact"/>
        <w:ind w:left="1843"/>
        <w:rPr>
          <w:rFonts w:eastAsia="標楷體"/>
          <w:sz w:val="28"/>
        </w:rPr>
      </w:pPr>
      <w:r w:rsidRPr="00C66B9E">
        <w:rPr>
          <w:rFonts w:eastAsia="標楷體" w:hint="eastAsia"/>
          <w:sz w:val="28"/>
        </w:rPr>
        <w:t>僅陳述貿易救濟措施將不列入，除非調查過程中有不公平或不透明等。</w:t>
      </w:r>
    </w:p>
    <w:p w:rsidR="00C66B9E" w:rsidRDefault="00C66B9E" w:rsidP="00C66B9E">
      <w:pPr>
        <w:pStyle w:val="Standard"/>
        <w:numPr>
          <w:ilvl w:val="0"/>
          <w:numId w:val="15"/>
        </w:numPr>
        <w:spacing w:line="400" w:lineRule="exact"/>
        <w:ind w:left="1843"/>
        <w:rPr>
          <w:rFonts w:eastAsia="標楷體"/>
          <w:sz w:val="28"/>
        </w:rPr>
      </w:pPr>
      <w:r w:rsidRPr="00C66B9E">
        <w:rPr>
          <w:rFonts w:eastAsia="標楷體" w:hint="eastAsia"/>
          <w:sz w:val="28"/>
        </w:rPr>
        <w:t>僅陳述申請工作或商務簽證手續繁複不列入，除非係針對我國之明顯歧視。</w:t>
      </w:r>
    </w:p>
    <w:p w:rsidR="00C66B9E" w:rsidRDefault="00C66B9E" w:rsidP="00C66B9E">
      <w:pPr>
        <w:pStyle w:val="Standard"/>
        <w:numPr>
          <w:ilvl w:val="0"/>
          <w:numId w:val="15"/>
        </w:numPr>
        <w:spacing w:line="400" w:lineRule="exact"/>
        <w:ind w:left="1843"/>
        <w:rPr>
          <w:rFonts w:eastAsia="標楷體"/>
          <w:sz w:val="28"/>
        </w:rPr>
      </w:pPr>
      <w:r w:rsidRPr="00C66B9E">
        <w:rPr>
          <w:rFonts w:eastAsia="標楷體" w:hint="eastAsia"/>
          <w:sz w:val="28"/>
        </w:rPr>
        <w:t>我商不熟捻當地國法規或政策不列入。</w:t>
      </w:r>
    </w:p>
    <w:p w:rsidR="00C66B9E" w:rsidRDefault="00C66B9E" w:rsidP="00C66B9E">
      <w:pPr>
        <w:pStyle w:val="Standard"/>
        <w:numPr>
          <w:ilvl w:val="0"/>
          <w:numId w:val="15"/>
        </w:numPr>
        <w:spacing w:line="400" w:lineRule="exact"/>
        <w:ind w:left="1843"/>
        <w:rPr>
          <w:rFonts w:eastAsia="標楷體"/>
          <w:sz w:val="28"/>
        </w:rPr>
      </w:pPr>
      <w:r w:rsidRPr="00C66B9E">
        <w:rPr>
          <w:rFonts w:eastAsia="標楷體" w:hint="eastAsia"/>
          <w:sz w:val="28"/>
        </w:rPr>
        <w:t>引用他國貿易障礙報告之內容須注意該等措施</w:t>
      </w:r>
      <w:r>
        <w:rPr>
          <w:rFonts w:eastAsia="標楷體" w:hint="eastAsia"/>
          <w:sz w:val="28"/>
        </w:rPr>
        <w:t>亦</w:t>
      </w:r>
      <w:r w:rsidRPr="00C66B9E">
        <w:rPr>
          <w:rFonts w:eastAsia="標楷體" w:hint="eastAsia"/>
          <w:sz w:val="28"/>
        </w:rPr>
        <w:t>對我國形成貿易障礙才列入。</w:t>
      </w:r>
    </w:p>
    <w:p w:rsidR="00C66B9E" w:rsidRPr="00C66B9E" w:rsidRDefault="00C66B9E" w:rsidP="00C66B9E">
      <w:pPr>
        <w:pStyle w:val="Standard"/>
        <w:numPr>
          <w:ilvl w:val="0"/>
          <w:numId w:val="15"/>
        </w:numPr>
        <w:spacing w:line="400" w:lineRule="exact"/>
        <w:ind w:left="1843"/>
        <w:rPr>
          <w:rFonts w:eastAsia="標楷體"/>
          <w:sz w:val="28"/>
        </w:rPr>
      </w:pPr>
      <w:r w:rsidRPr="00C66B9E">
        <w:rPr>
          <w:rFonts w:eastAsia="標楷體" w:hint="eastAsia"/>
          <w:sz w:val="28"/>
        </w:rPr>
        <w:t>當地國因宗教或風俗而對我商有歧視或不公平措施，則可列為貿易障礙。</w:t>
      </w:r>
    </w:p>
    <w:p w:rsidR="00AA2EFD" w:rsidRDefault="002B53A6" w:rsidP="00C66B9E">
      <w:pPr>
        <w:pStyle w:val="Standard"/>
        <w:spacing w:line="400" w:lineRule="exact"/>
        <w:ind w:left="868" w:hanging="587"/>
        <w:jc w:val="both"/>
        <w:rPr>
          <w:rFonts w:eastAsia="標楷體"/>
          <w:sz w:val="28"/>
        </w:rPr>
      </w:pPr>
      <w:r w:rsidRPr="00BB74EF">
        <w:rPr>
          <w:rFonts w:eastAsia="標楷體"/>
          <w:sz w:val="28"/>
        </w:rPr>
        <w:t>(</w:t>
      </w:r>
      <w:r w:rsidRPr="00BB74EF">
        <w:rPr>
          <w:rFonts w:eastAsia="標楷體"/>
          <w:sz w:val="28"/>
        </w:rPr>
        <w:t>三</w:t>
      </w:r>
      <w:r w:rsidRPr="00BB74EF">
        <w:rPr>
          <w:rFonts w:eastAsia="標楷體"/>
          <w:sz w:val="28"/>
        </w:rPr>
        <w:t xml:space="preserve">) </w:t>
      </w:r>
      <w:r w:rsidRPr="00BB74EF">
        <w:rPr>
          <w:rFonts w:eastAsia="標楷體"/>
          <w:sz w:val="28"/>
        </w:rPr>
        <w:t>儘量使用中性用語，文字敘述務求明確，避免使用過激性、批判性字眼及來源不明之指控資料。</w:t>
      </w:r>
    </w:p>
    <w:p w:rsidR="00C66B9E" w:rsidRPr="00BB74EF" w:rsidRDefault="00C66B9E" w:rsidP="00C66B9E">
      <w:pPr>
        <w:pStyle w:val="Standard"/>
        <w:spacing w:line="400" w:lineRule="exact"/>
        <w:ind w:left="840" w:hanging="559"/>
        <w:jc w:val="both"/>
        <w:rPr>
          <w:rFonts w:eastAsia="標楷體"/>
          <w:sz w:val="28"/>
        </w:rPr>
      </w:pPr>
      <w:r w:rsidRPr="00BB74EF">
        <w:rPr>
          <w:rFonts w:eastAsia="標楷體"/>
          <w:sz w:val="28"/>
        </w:rPr>
        <w:lastRenderedPageBreak/>
        <w:t>(</w:t>
      </w:r>
      <w:r>
        <w:rPr>
          <w:rFonts w:eastAsia="標楷體"/>
          <w:sz w:val="28"/>
        </w:rPr>
        <w:t>四</w:t>
      </w:r>
      <w:r w:rsidRPr="00BB74EF">
        <w:rPr>
          <w:rFonts w:eastAsia="標楷體"/>
          <w:sz w:val="28"/>
        </w:rPr>
        <w:t>)</w:t>
      </w:r>
      <w:r w:rsidRPr="00C66B9E">
        <w:rPr>
          <w:rFonts w:ascii="Arial" w:eastAsia="標楷體" w:hAnsi="Arial" w:cs="Arial" w:hint="eastAsia"/>
        </w:rPr>
        <w:t xml:space="preserve"> </w:t>
      </w:r>
      <w:r w:rsidRPr="00C66B9E">
        <w:rPr>
          <w:rFonts w:eastAsia="標楷體" w:hint="eastAsia"/>
          <w:sz w:val="28"/>
        </w:rPr>
        <w:t>對於去年審查時已予以刪除之內容，請先行</w:t>
      </w:r>
      <w:r>
        <w:rPr>
          <w:rFonts w:eastAsia="標楷體" w:hint="eastAsia"/>
          <w:sz w:val="28"/>
        </w:rPr>
        <w:t>自行</w:t>
      </w:r>
      <w:r w:rsidRPr="00C66B9E">
        <w:rPr>
          <w:rFonts w:eastAsia="標楷體" w:hint="eastAsia"/>
          <w:sz w:val="28"/>
        </w:rPr>
        <w:t>檢視，確認無再次提報之情形</w:t>
      </w:r>
      <w:r>
        <w:rPr>
          <w:rFonts w:ascii="Arial" w:eastAsia="標楷體" w:hAnsi="Arial" w:cs="Arial" w:hint="eastAsia"/>
        </w:rPr>
        <w:t>。</w:t>
      </w:r>
    </w:p>
    <w:p w:rsidR="00AA2EFD" w:rsidRPr="00BB74EF" w:rsidRDefault="002B53A6" w:rsidP="00BE41E1">
      <w:pPr>
        <w:pStyle w:val="Standard"/>
        <w:spacing w:beforeLines="50" w:before="193" w:afterLines="50" w:after="193" w:line="400" w:lineRule="exact"/>
        <w:jc w:val="both"/>
      </w:pPr>
      <w:r w:rsidRPr="00BB74EF">
        <w:rPr>
          <w:rFonts w:eastAsia="標楷體"/>
          <w:b/>
          <w:bCs/>
          <w:sz w:val="32"/>
        </w:rPr>
        <w:t>三、</w:t>
      </w:r>
      <w:r w:rsidRPr="00BB74EF">
        <w:rPr>
          <w:rFonts w:eastAsia="標楷體"/>
          <w:sz w:val="28"/>
        </w:rPr>
        <w:t>貿易障礙項目說明：</w:t>
      </w:r>
    </w:p>
    <w:p w:rsidR="00AA2EFD" w:rsidRPr="00BB74EF" w:rsidRDefault="002B53A6" w:rsidP="00BE41E1">
      <w:pPr>
        <w:pStyle w:val="Standard"/>
        <w:spacing w:line="400" w:lineRule="exact"/>
        <w:ind w:left="2242" w:hanging="2242"/>
        <w:jc w:val="both"/>
      </w:pPr>
      <w:r w:rsidRPr="00BB74EF">
        <w:rPr>
          <w:rFonts w:eastAsia="標楷體"/>
          <w:b/>
          <w:bCs/>
          <w:sz w:val="28"/>
        </w:rPr>
        <w:t>（一）關稅障礙</w:t>
      </w:r>
      <w:r w:rsidRPr="00BB74EF">
        <w:rPr>
          <w:rFonts w:eastAsia="標楷體"/>
          <w:sz w:val="28"/>
        </w:rPr>
        <w:t>：</w:t>
      </w:r>
    </w:p>
    <w:p w:rsidR="00AA2EFD" w:rsidRPr="00BB74EF" w:rsidRDefault="002B53A6" w:rsidP="00BE41E1">
      <w:pPr>
        <w:pStyle w:val="Standard"/>
        <w:spacing w:line="400" w:lineRule="exact"/>
        <w:ind w:left="826" w:firstLine="16"/>
        <w:jc w:val="both"/>
      </w:pPr>
      <w:r w:rsidRPr="00BB74EF">
        <w:rPr>
          <w:rFonts w:eastAsia="標楷體"/>
          <w:sz w:val="28"/>
        </w:rPr>
        <w:t>稅率（進、出口）過高、關稅配額（進、出口）管理制度、關稅分類、徵收其他稅捐等等。注意：建議將</w:t>
      </w:r>
      <w:r w:rsidRPr="00BB74EF">
        <w:rPr>
          <w:rFonts w:eastAsia="標楷體"/>
          <w:b/>
          <w:bCs/>
          <w:sz w:val="28"/>
          <w:u w:val="single"/>
        </w:rPr>
        <w:t>海關核價制度</w:t>
      </w:r>
      <w:r w:rsidRPr="00BB74EF">
        <w:rPr>
          <w:rFonts w:eastAsia="標楷體"/>
          <w:sz w:val="28"/>
        </w:rPr>
        <w:t>置於關務程序障礙。</w:t>
      </w:r>
    </w:p>
    <w:p w:rsidR="00AA2EFD" w:rsidRPr="00BB74EF" w:rsidRDefault="002B53A6" w:rsidP="00BE41E1">
      <w:pPr>
        <w:pStyle w:val="Standard"/>
        <w:spacing w:line="400" w:lineRule="exact"/>
        <w:ind w:left="2340" w:hanging="2340"/>
        <w:jc w:val="both"/>
      </w:pPr>
      <w:r w:rsidRPr="00BB74EF">
        <w:rPr>
          <w:rFonts w:eastAsia="標楷體"/>
          <w:b/>
          <w:bCs/>
          <w:sz w:val="28"/>
        </w:rPr>
        <w:t>（二）非關稅障礙</w:t>
      </w:r>
      <w:r w:rsidRPr="00BB74EF">
        <w:rPr>
          <w:rFonts w:eastAsia="標楷體"/>
          <w:sz w:val="28"/>
        </w:rPr>
        <w:t>：</w:t>
      </w:r>
    </w:p>
    <w:p w:rsidR="00AA2EFD" w:rsidRPr="00BB74EF" w:rsidRDefault="002B53A6" w:rsidP="00BE41E1">
      <w:pPr>
        <w:pStyle w:val="Standard"/>
        <w:spacing w:line="400" w:lineRule="exact"/>
        <w:ind w:left="840" w:hanging="28"/>
        <w:jc w:val="both"/>
      </w:pPr>
      <w:r w:rsidRPr="00BB74EF">
        <w:rPr>
          <w:rFonts w:eastAsia="標楷體"/>
          <w:sz w:val="28"/>
        </w:rPr>
        <w:t>常見於農漁產品及菸酒產品之管制措施、進出口管制措施、</w:t>
      </w:r>
      <w:r w:rsidRPr="00BB74EF">
        <w:rPr>
          <w:rFonts w:eastAsia="標楷體"/>
          <w:color w:val="000000"/>
          <w:sz w:val="28"/>
        </w:rPr>
        <w:t>反傾銷及防衛措</w:t>
      </w:r>
      <w:r w:rsidR="00BB74EF">
        <w:rPr>
          <w:rFonts w:eastAsia="標楷體"/>
          <w:color w:val="000000"/>
          <w:sz w:val="28"/>
        </w:rPr>
        <w:t>施</w:t>
      </w:r>
      <w:r w:rsidRPr="00BB74EF">
        <w:rPr>
          <w:rFonts w:eastAsia="標楷體"/>
          <w:color w:val="000000"/>
          <w:sz w:val="28"/>
        </w:rPr>
        <w:t>(</w:t>
      </w:r>
      <w:r w:rsidRPr="004A759B">
        <w:rPr>
          <w:rFonts w:eastAsia="標楷體"/>
          <w:b/>
          <w:bCs/>
          <w:color w:val="000000"/>
          <w:sz w:val="28"/>
        </w:rPr>
        <w:t>調查程序欠缺透明性或有制度性缺失者才須納入</w:t>
      </w:r>
      <w:r w:rsidRPr="00BB74EF">
        <w:rPr>
          <w:rFonts w:eastAsia="標楷體"/>
          <w:color w:val="000000"/>
          <w:sz w:val="28"/>
        </w:rPr>
        <w:t>)</w:t>
      </w:r>
      <w:r w:rsidRPr="00BB74EF">
        <w:rPr>
          <w:rFonts w:eastAsia="標楷體"/>
          <w:color w:val="000000"/>
          <w:sz w:val="28"/>
        </w:rPr>
        <w:t>、</w:t>
      </w:r>
      <w:r w:rsidRPr="00BB74EF">
        <w:rPr>
          <w:rFonts w:eastAsia="標楷體"/>
          <w:sz w:val="28"/>
        </w:rPr>
        <w:t>工業產品進口管制汽機車自製率、海關收費不合理等，將</w:t>
      </w:r>
      <w:r w:rsidRPr="000271CB">
        <w:rPr>
          <w:rFonts w:eastAsia="標楷體"/>
          <w:b/>
          <w:bCs/>
          <w:sz w:val="28"/>
        </w:rPr>
        <w:t>一般性進出口管制</w:t>
      </w:r>
      <w:r w:rsidRPr="00BB74EF">
        <w:rPr>
          <w:rFonts w:eastAsia="標楷體"/>
          <w:sz w:val="28"/>
        </w:rPr>
        <w:t>置於關務程序障礙。</w:t>
      </w:r>
    </w:p>
    <w:p w:rsidR="00AA2EFD" w:rsidRPr="00BB74EF" w:rsidRDefault="002B53A6" w:rsidP="00855501">
      <w:pPr>
        <w:pStyle w:val="Standard"/>
        <w:spacing w:line="400" w:lineRule="exact"/>
        <w:ind w:left="2522" w:hanging="2522"/>
        <w:jc w:val="both"/>
      </w:pPr>
      <w:r w:rsidRPr="00BB74EF">
        <w:rPr>
          <w:rFonts w:eastAsia="標楷體"/>
          <w:b/>
          <w:bCs/>
          <w:sz w:val="28"/>
        </w:rPr>
        <w:t>（三）標準與認證</w:t>
      </w:r>
      <w:r w:rsidRPr="00BB74EF">
        <w:rPr>
          <w:rFonts w:eastAsia="標楷體"/>
          <w:sz w:val="28"/>
        </w:rPr>
        <w:t>：</w:t>
      </w:r>
    </w:p>
    <w:p w:rsidR="00AA2EFD" w:rsidRPr="00BB74EF" w:rsidRDefault="002B53A6" w:rsidP="00BE41E1">
      <w:pPr>
        <w:pStyle w:val="Standard"/>
        <w:spacing w:line="400" w:lineRule="exact"/>
        <w:ind w:left="839"/>
        <w:rPr>
          <w:rFonts w:eastAsia="標楷體"/>
          <w:sz w:val="28"/>
          <w:szCs w:val="28"/>
        </w:rPr>
      </w:pPr>
      <w:r w:rsidRPr="00BB74EF">
        <w:rPr>
          <w:rFonts w:eastAsia="標楷體"/>
          <w:sz w:val="28"/>
          <w:szCs w:val="28"/>
        </w:rPr>
        <w:t>標準與認證規定不明確、規定差異統合緩慢、認證費用過高、未開放境外認證、重複認證及產品標示相關規定。</w:t>
      </w:r>
    </w:p>
    <w:p w:rsidR="00AA2EFD" w:rsidRPr="00BB74EF" w:rsidRDefault="002B53A6" w:rsidP="00855501">
      <w:pPr>
        <w:pStyle w:val="Standard"/>
        <w:spacing w:line="400" w:lineRule="exact"/>
        <w:ind w:left="3086" w:hanging="3086"/>
        <w:jc w:val="both"/>
      </w:pPr>
      <w:r w:rsidRPr="00BB74EF">
        <w:rPr>
          <w:rFonts w:eastAsia="標楷體"/>
          <w:b/>
          <w:bCs/>
          <w:sz w:val="28"/>
        </w:rPr>
        <w:t>（四）檢驗與檢疫障礙</w:t>
      </w:r>
      <w:r w:rsidRPr="00BB74EF">
        <w:rPr>
          <w:rFonts w:eastAsia="標楷體"/>
          <w:sz w:val="28"/>
        </w:rPr>
        <w:t>：</w:t>
      </w:r>
    </w:p>
    <w:p w:rsidR="00AA2EFD" w:rsidRPr="00BB74EF" w:rsidRDefault="002B53A6" w:rsidP="00855501">
      <w:pPr>
        <w:pStyle w:val="Standard"/>
        <w:spacing w:line="400" w:lineRule="exact"/>
        <w:ind w:left="851" w:hanging="14"/>
      </w:pPr>
      <w:r w:rsidRPr="00BB74EF">
        <w:rPr>
          <w:rFonts w:eastAsia="標楷體"/>
          <w:sz w:val="28"/>
        </w:rPr>
        <w:t>農產品檢驗（</w:t>
      </w:r>
      <w:proofErr w:type="gramStart"/>
      <w:r w:rsidRPr="00BB74EF">
        <w:rPr>
          <w:rFonts w:eastAsia="標楷體"/>
          <w:sz w:val="28"/>
        </w:rPr>
        <w:t>疫</w:t>
      </w:r>
      <w:proofErr w:type="gramEnd"/>
      <w:r w:rsidRPr="00BB74EF">
        <w:rPr>
          <w:rFonts w:eastAsia="標楷體"/>
          <w:sz w:val="28"/>
        </w:rPr>
        <w:t>）標準過嚴、所需時間過長、檢驗（</w:t>
      </w:r>
      <w:proofErr w:type="gramStart"/>
      <w:r w:rsidRPr="00BB74EF">
        <w:rPr>
          <w:rFonts w:eastAsia="標楷體"/>
          <w:sz w:val="28"/>
        </w:rPr>
        <w:t>疫</w:t>
      </w:r>
      <w:proofErr w:type="gramEnd"/>
      <w:r w:rsidRPr="00BB74EF">
        <w:rPr>
          <w:rFonts w:eastAsia="標楷體"/>
          <w:sz w:val="28"/>
        </w:rPr>
        <w:t>）要求缺乏科學依據、與國際標準不符、無統一檢驗機構、費用偏高、代檢機構不明、因</w:t>
      </w:r>
      <w:proofErr w:type="gramStart"/>
      <w:r w:rsidRPr="00BB74EF">
        <w:rPr>
          <w:rFonts w:eastAsia="標楷體"/>
          <w:sz w:val="28"/>
        </w:rPr>
        <w:t>疫情遭</w:t>
      </w:r>
      <w:proofErr w:type="gramEnd"/>
      <w:r w:rsidRPr="00BB74EF">
        <w:rPr>
          <w:rFonts w:eastAsia="標楷體"/>
          <w:sz w:val="28"/>
        </w:rPr>
        <w:t>禁止進口。</w:t>
      </w:r>
    </w:p>
    <w:p w:rsidR="00AA2EFD" w:rsidRPr="00BB74EF" w:rsidRDefault="002B53A6" w:rsidP="00855501">
      <w:pPr>
        <w:pStyle w:val="Standard"/>
        <w:spacing w:line="400" w:lineRule="exact"/>
        <w:ind w:left="3086" w:hanging="3086"/>
        <w:jc w:val="both"/>
      </w:pPr>
      <w:r w:rsidRPr="00BB74EF">
        <w:rPr>
          <w:rFonts w:eastAsia="標楷體"/>
          <w:b/>
          <w:bCs/>
          <w:sz w:val="28"/>
        </w:rPr>
        <w:t>（五）關務程序障礙（</w:t>
      </w:r>
      <w:r w:rsidRPr="004A759B">
        <w:rPr>
          <w:rFonts w:eastAsia="標楷體"/>
          <w:b/>
          <w:bCs/>
          <w:color w:val="000000"/>
          <w:sz w:val="28"/>
        </w:rPr>
        <w:t>一般性進出口管制）</w:t>
      </w:r>
      <w:r w:rsidRPr="00BB74EF">
        <w:rPr>
          <w:rFonts w:eastAsia="標楷體"/>
          <w:b/>
          <w:bCs/>
          <w:color w:val="000000"/>
          <w:sz w:val="28"/>
        </w:rPr>
        <w:t>：</w:t>
      </w:r>
    </w:p>
    <w:p w:rsidR="00AA2EFD" w:rsidRPr="00BB74EF" w:rsidRDefault="002B53A6" w:rsidP="00855501">
      <w:pPr>
        <w:pStyle w:val="Standard"/>
        <w:spacing w:line="400" w:lineRule="exact"/>
        <w:ind w:left="811"/>
        <w:rPr>
          <w:rFonts w:eastAsia="標楷體"/>
          <w:sz w:val="28"/>
        </w:rPr>
      </w:pPr>
      <w:r w:rsidRPr="00BB74EF">
        <w:rPr>
          <w:rFonts w:eastAsia="標楷體"/>
          <w:sz w:val="28"/>
        </w:rPr>
        <w:t>海關訂有核價制度（設定底價）；通關規定不透明、通關文件要求過多、文件審核過於嚴苛、歧視性（不合理）</w:t>
      </w:r>
      <w:proofErr w:type="gramStart"/>
      <w:r w:rsidRPr="00BB74EF">
        <w:rPr>
          <w:rFonts w:eastAsia="標楷體"/>
          <w:sz w:val="28"/>
        </w:rPr>
        <w:t>之驗櫃</w:t>
      </w:r>
      <w:proofErr w:type="gramEnd"/>
      <w:r w:rsidRPr="00BB74EF">
        <w:rPr>
          <w:rFonts w:eastAsia="標楷體"/>
          <w:sz w:val="28"/>
        </w:rPr>
        <w:t>措施；其他如：參展品須繳交高額保證金始得進口等。</w:t>
      </w:r>
    </w:p>
    <w:p w:rsidR="00AA2EFD" w:rsidRPr="00BB74EF" w:rsidRDefault="002B53A6" w:rsidP="00855501">
      <w:pPr>
        <w:pStyle w:val="Textbodyindent"/>
        <w:spacing w:line="400" w:lineRule="exact"/>
        <w:ind w:left="2522" w:hanging="252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t>（六）原產地規定等文件之公證及簽證</w:t>
      </w:r>
      <w:r w:rsidRPr="00BB74EF">
        <w:rPr>
          <w:rFonts w:ascii="Times New Roman" w:hAnsi="Times New Roman" w:cs="Times New Roman"/>
        </w:rPr>
        <w:t>：</w:t>
      </w:r>
    </w:p>
    <w:p w:rsidR="00AA2EFD" w:rsidRPr="00BB74EF" w:rsidRDefault="002B53A6" w:rsidP="00855501">
      <w:pPr>
        <w:pStyle w:val="Textbodyindent"/>
        <w:spacing w:line="400" w:lineRule="exact"/>
        <w:ind w:left="868" w:hanging="28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須經公（簽）證之原產地證明文件等指定出口文件項目及收費有不合理之情形等。</w:t>
      </w:r>
    </w:p>
    <w:p w:rsidR="00AA2EFD" w:rsidRPr="00BB74EF" w:rsidRDefault="002B53A6" w:rsidP="00855501">
      <w:pPr>
        <w:pStyle w:val="Textbodyindent"/>
        <w:spacing w:line="400" w:lineRule="exact"/>
        <w:ind w:left="2522" w:hanging="2522"/>
        <w:jc w:val="both"/>
        <w:rPr>
          <w:rFonts w:ascii="Times New Roman" w:hAnsi="Times New Roman" w:cs="Times New Roman"/>
          <w:b/>
          <w:bCs/>
        </w:rPr>
      </w:pPr>
      <w:r w:rsidRPr="00BB74EF">
        <w:rPr>
          <w:rFonts w:ascii="Times New Roman" w:hAnsi="Times New Roman" w:cs="Times New Roman"/>
          <w:b/>
          <w:bCs/>
        </w:rPr>
        <w:t>（七）智慧財產權：</w:t>
      </w:r>
    </w:p>
    <w:p w:rsidR="00AA2EFD" w:rsidRPr="00BB74EF" w:rsidRDefault="002B53A6" w:rsidP="00855501">
      <w:pPr>
        <w:pStyle w:val="Textbodyindent"/>
        <w:spacing w:line="400" w:lineRule="exact"/>
        <w:ind w:left="826" w:firstLine="0"/>
        <w:jc w:val="both"/>
        <w:rPr>
          <w:rFonts w:ascii="Times New Roman" w:hAnsi="Times New Roman" w:cs="Times New Roman"/>
          <w:bCs/>
        </w:rPr>
      </w:pPr>
      <w:r w:rsidRPr="00BB74EF">
        <w:rPr>
          <w:rFonts w:ascii="Times New Roman" w:hAnsi="Times New Roman" w:cs="Times New Roman"/>
          <w:bCs/>
        </w:rPr>
        <w:t>建議參考美國</w:t>
      </w:r>
      <w:r w:rsidRPr="00BB74EF">
        <w:rPr>
          <w:rFonts w:ascii="Times New Roman" w:hAnsi="Times New Roman" w:cs="Times New Roman"/>
          <w:bCs/>
        </w:rPr>
        <w:t>USTR NTE</w:t>
      </w:r>
      <w:r w:rsidRPr="00BB74EF">
        <w:rPr>
          <w:rFonts w:ascii="Times New Roman" w:hAnsi="Times New Roman" w:cs="Times New Roman"/>
          <w:bCs/>
        </w:rPr>
        <w:t>（各國對美貿易障礙調查）報告內有關之說明。</w:t>
      </w:r>
    </w:p>
    <w:p w:rsidR="00AA2EFD" w:rsidRPr="00BB74EF" w:rsidRDefault="002B53A6" w:rsidP="00855501">
      <w:pPr>
        <w:pStyle w:val="Textbodyindent"/>
        <w:spacing w:line="400" w:lineRule="exact"/>
        <w:ind w:left="2299" w:hanging="2237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t>（八）政府採購</w:t>
      </w:r>
      <w:r w:rsidRPr="00BB74EF">
        <w:rPr>
          <w:rFonts w:ascii="Times New Roman" w:hAnsi="Times New Roman" w:cs="Times New Roman"/>
        </w:rPr>
        <w:t>：</w:t>
      </w:r>
    </w:p>
    <w:p w:rsidR="00AA2EFD" w:rsidRPr="00BB74EF" w:rsidRDefault="002B53A6" w:rsidP="00855501">
      <w:pPr>
        <w:pStyle w:val="Textbodyindent"/>
        <w:spacing w:line="400" w:lineRule="exact"/>
        <w:ind w:left="900" w:firstLine="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規定不夠透明、違反屬</w:t>
      </w:r>
      <w:r w:rsidRPr="00BB74EF">
        <w:rPr>
          <w:rFonts w:ascii="Times New Roman" w:hAnsi="Times New Roman" w:cs="Times New Roman"/>
        </w:rPr>
        <w:t>GPA</w:t>
      </w:r>
      <w:r w:rsidRPr="00BB74EF">
        <w:rPr>
          <w:rFonts w:ascii="Times New Roman" w:hAnsi="Times New Roman" w:cs="Times New Roman"/>
        </w:rPr>
        <w:t>會員但違反</w:t>
      </w:r>
      <w:r w:rsidRPr="00BB74EF">
        <w:rPr>
          <w:rFonts w:ascii="Times New Roman" w:hAnsi="Times New Roman" w:cs="Times New Roman"/>
        </w:rPr>
        <w:t>WTO</w:t>
      </w:r>
      <w:r w:rsidRPr="00BB74EF">
        <w:rPr>
          <w:rFonts w:ascii="Times New Roman" w:hAnsi="Times New Roman" w:cs="Times New Roman"/>
        </w:rPr>
        <w:t>政府採購協定國民待遇（要求採購當地設備）、等標期過短等。</w:t>
      </w:r>
    </w:p>
    <w:p w:rsidR="00AA2EFD" w:rsidRPr="00BB74EF" w:rsidRDefault="002B53A6" w:rsidP="00855501">
      <w:pPr>
        <w:pStyle w:val="Textbodyindent"/>
        <w:spacing w:line="400" w:lineRule="exact"/>
        <w:ind w:left="3139" w:hanging="3077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t>（九）競爭政策與措施</w:t>
      </w:r>
      <w:r w:rsidRPr="00BB74EF">
        <w:rPr>
          <w:rFonts w:ascii="Times New Roman" w:hAnsi="Times New Roman" w:cs="Times New Roman"/>
        </w:rPr>
        <w:t>：</w:t>
      </w:r>
    </w:p>
    <w:p w:rsidR="00AA2EFD" w:rsidRPr="00BB74EF" w:rsidRDefault="002B53A6" w:rsidP="00F23D32">
      <w:pPr>
        <w:pStyle w:val="Textbodyindent"/>
        <w:spacing w:line="400" w:lineRule="exact"/>
        <w:ind w:left="851" w:firstLine="31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出口補貼、進（出）口獨占、其他有關阻礙公平競爭之情事。</w:t>
      </w:r>
    </w:p>
    <w:p w:rsidR="00AA2EFD" w:rsidRPr="00BB74EF" w:rsidRDefault="002B53A6" w:rsidP="00855501">
      <w:pPr>
        <w:pStyle w:val="Textbodyindent"/>
        <w:spacing w:line="400" w:lineRule="exact"/>
        <w:ind w:left="1682" w:hanging="168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lastRenderedPageBreak/>
        <w:t>（十）服務業障礙</w:t>
      </w:r>
      <w:r w:rsidRPr="00BB74EF">
        <w:rPr>
          <w:rFonts w:ascii="Times New Roman" w:hAnsi="Times New Roman" w:cs="Times New Roman"/>
        </w:rPr>
        <w:t>：</w:t>
      </w:r>
    </w:p>
    <w:p w:rsidR="00AA2EFD" w:rsidRDefault="002B53A6" w:rsidP="00855501">
      <w:pPr>
        <w:pStyle w:val="Textbodyindent"/>
        <w:numPr>
          <w:ilvl w:val="3"/>
          <w:numId w:val="11"/>
        </w:numPr>
        <w:tabs>
          <w:tab w:val="left" w:pos="1358"/>
        </w:tabs>
        <w:spacing w:line="400" w:lineRule="exact"/>
        <w:ind w:left="1302" w:hanging="48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金融保險業：</w:t>
      </w:r>
    </w:p>
    <w:p w:rsidR="00855501" w:rsidRDefault="00855501" w:rsidP="00855501">
      <w:pPr>
        <w:pStyle w:val="Textbodyindent"/>
        <w:tabs>
          <w:tab w:val="left" w:pos="1358"/>
        </w:tabs>
        <w:spacing w:line="400" w:lineRule="exact"/>
        <w:ind w:left="1302" w:firstLine="0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外資設立分行、子行、營業據點之限制；外資銀行設置地點、持股比例、營業項目之限制及強制僱用當地員工之規定等。</w:t>
      </w:r>
    </w:p>
    <w:p w:rsidR="00855501" w:rsidRDefault="00855501" w:rsidP="00855501">
      <w:pPr>
        <w:pStyle w:val="Textbodyindent"/>
        <w:numPr>
          <w:ilvl w:val="3"/>
          <w:numId w:val="11"/>
        </w:numPr>
        <w:tabs>
          <w:tab w:val="left" w:pos="1358"/>
        </w:tabs>
        <w:spacing w:line="400" w:lineRule="exact"/>
        <w:ind w:left="1302" w:hanging="48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電信業：</w:t>
      </w:r>
    </w:p>
    <w:p w:rsidR="00855501" w:rsidRDefault="00855501" w:rsidP="000271CB">
      <w:pPr>
        <w:pStyle w:val="Textbodyindent"/>
        <w:tabs>
          <w:tab w:val="left" w:pos="1358"/>
        </w:tabs>
        <w:spacing w:line="400" w:lineRule="exact"/>
        <w:ind w:left="1302" w:rightChars="37" w:right="89" w:firstLine="0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外資設立分公司、子公司、營業據點之限制；設置地點、持股比例、股東人數及營業項目之限制及強制費率之規定等。</w:t>
      </w:r>
    </w:p>
    <w:p w:rsidR="00855501" w:rsidRDefault="00855501" w:rsidP="00855501">
      <w:pPr>
        <w:pStyle w:val="Textbodyindent"/>
        <w:numPr>
          <w:ilvl w:val="3"/>
          <w:numId w:val="11"/>
        </w:numPr>
        <w:tabs>
          <w:tab w:val="left" w:pos="1358"/>
        </w:tabs>
        <w:spacing w:line="400" w:lineRule="exact"/>
        <w:ind w:left="1302" w:hanging="482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其他行業：</w:t>
      </w:r>
    </w:p>
    <w:p w:rsidR="00855501" w:rsidRDefault="00855501" w:rsidP="00855501">
      <w:pPr>
        <w:pStyle w:val="Textbodyindent"/>
        <w:tabs>
          <w:tab w:val="left" w:pos="1358"/>
        </w:tabs>
        <w:spacing w:line="400" w:lineRule="exact"/>
        <w:ind w:left="1302" w:rightChars="37" w:right="89" w:firstLine="0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凡對於空運、海運、大眾傳播、影視、快遞、批發、零售等行業，及對於法律、會計、建築、營造等專門人士所為之前述兩項執業</w:t>
      </w:r>
      <w:proofErr w:type="gramStart"/>
      <w:r w:rsidRPr="00BB74EF">
        <w:rPr>
          <w:rFonts w:ascii="Times New Roman" w:hAnsi="Times New Roman" w:cs="Times New Roman"/>
        </w:rPr>
        <w:t>限制均屬之</w:t>
      </w:r>
      <w:proofErr w:type="gramEnd"/>
      <w:r w:rsidRPr="00BB74EF">
        <w:rPr>
          <w:rFonts w:ascii="Times New Roman" w:hAnsi="Times New Roman" w:cs="Times New Roman"/>
        </w:rPr>
        <w:t>。</w:t>
      </w:r>
    </w:p>
    <w:p w:rsidR="00AA2EFD" w:rsidRPr="00BB74EF" w:rsidRDefault="002B53A6">
      <w:pPr>
        <w:pStyle w:val="Textbodyindent"/>
        <w:spacing w:line="440" w:lineRule="exact"/>
        <w:ind w:left="0" w:firstLine="0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t>（十一）投資障礙</w:t>
      </w:r>
      <w:r w:rsidRPr="00BB74EF">
        <w:rPr>
          <w:rFonts w:ascii="Times New Roman" w:hAnsi="Times New Roman" w:cs="Times New Roman"/>
        </w:rPr>
        <w:t>：</w:t>
      </w:r>
    </w:p>
    <w:p w:rsidR="00AA2EFD" w:rsidRDefault="002B53A6" w:rsidP="00855501">
      <w:pPr>
        <w:pStyle w:val="Textbodyindent"/>
        <w:numPr>
          <w:ilvl w:val="3"/>
          <w:numId w:val="12"/>
        </w:numPr>
        <w:spacing w:line="440" w:lineRule="exact"/>
        <w:ind w:left="1560" w:hanging="482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限制外人投資特定行業（如農業、油氣探</w:t>
      </w:r>
      <w:proofErr w:type="gramStart"/>
      <w:r w:rsidRPr="00BB74EF">
        <w:rPr>
          <w:rFonts w:ascii="Times New Roman" w:hAnsi="Times New Roman" w:cs="Times New Roman"/>
        </w:rPr>
        <w:t>勘</w:t>
      </w:r>
      <w:proofErr w:type="gramEnd"/>
      <w:r w:rsidRPr="00BB74EF">
        <w:rPr>
          <w:rFonts w:ascii="Times New Roman" w:hAnsi="Times New Roman" w:cs="Times New Roman"/>
        </w:rPr>
        <w:t>及開採、金融、郵政、電信等）、投資金額、投資地點；投資須經事先核准制度；外資持股受投資地點或投資行業不同限制。</w:t>
      </w:r>
    </w:p>
    <w:p w:rsidR="00855501" w:rsidRPr="00BB74EF" w:rsidRDefault="00855501" w:rsidP="00855501">
      <w:pPr>
        <w:pStyle w:val="Textbodyindent"/>
        <w:numPr>
          <w:ilvl w:val="3"/>
          <w:numId w:val="12"/>
        </w:numPr>
        <w:spacing w:line="440" w:lineRule="exact"/>
        <w:ind w:left="1560" w:hanging="482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工作（居留）證取得不易，主要原因為有較高之政治考量及要求；常碰到之困擾有申請程序有歧視待遇，審核期過長、居留效期又太短等等。</w:t>
      </w:r>
    </w:p>
    <w:p w:rsidR="00AA2EFD" w:rsidRPr="00BB74EF" w:rsidRDefault="002B53A6">
      <w:pPr>
        <w:pStyle w:val="Textbodyindent"/>
        <w:spacing w:line="440" w:lineRule="exact"/>
        <w:ind w:left="5067" w:hanging="5067"/>
        <w:jc w:val="both"/>
        <w:rPr>
          <w:rFonts w:ascii="Times New Roman" w:hAnsi="Times New Roman" w:cs="Times New Roman"/>
          <w:b/>
          <w:bCs/>
        </w:rPr>
      </w:pPr>
      <w:r w:rsidRPr="00BB74EF">
        <w:rPr>
          <w:rFonts w:ascii="Times New Roman" w:hAnsi="Times New Roman" w:cs="Times New Roman"/>
          <w:b/>
          <w:bCs/>
        </w:rPr>
        <w:t>（十二）人員移動障礙：</w:t>
      </w:r>
    </w:p>
    <w:p w:rsidR="00AA2EFD" w:rsidRDefault="002B53A6" w:rsidP="00690645">
      <w:pPr>
        <w:pStyle w:val="Textbodyindent"/>
        <w:numPr>
          <w:ilvl w:val="3"/>
          <w:numId w:val="13"/>
        </w:numPr>
        <w:spacing w:line="440" w:lineRule="exact"/>
        <w:ind w:left="1560" w:hanging="482"/>
        <w:jc w:val="both"/>
        <w:rPr>
          <w:rFonts w:ascii="Times New Roman" w:hAnsi="Times New Roman" w:cs="Times New Roman"/>
          <w:bCs/>
        </w:rPr>
      </w:pPr>
      <w:r w:rsidRPr="00BB74EF">
        <w:rPr>
          <w:rFonts w:ascii="Times New Roman" w:hAnsi="Times New Roman" w:cs="Times New Roman"/>
          <w:bCs/>
        </w:rPr>
        <w:t>需持邀請函始可辦理商務簽證，惟並非所有</w:t>
      </w:r>
      <w:proofErr w:type="gramStart"/>
      <w:r w:rsidRPr="00BB74EF">
        <w:rPr>
          <w:rFonts w:ascii="Times New Roman" w:hAnsi="Times New Roman" w:cs="Times New Roman"/>
          <w:bCs/>
        </w:rPr>
        <w:t>公司均有權</w:t>
      </w:r>
      <w:proofErr w:type="gramEnd"/>
      <w:r w:rsidRPr="00BB74EF">
        <w:rPr>
          <w:rFonts w:ascii="Times New Roman" w:hAnsi="Times New Roman" w:cs="Times New Roman"/>
          <w:bCs/>
        </w:rPr>
        <w:t>簽發邀請函，造成簽證困難。</w:t>
      </w:r>
    </w:p>
    <w:p w:rsidR="00690645" w:rsidRDefault="00690645" w:rsidP="00690645">
      <w:pPr>
        <w:pStyle w:val="Textbodyindent"/>
        <w:numPr>
          <w:ilvl w:val="3"/>
          <w:numId w:val="13"/>
        </w:numPr>
        <w:spacing w:line="440" w:lineRule="exact"/>
        <w:ind w:left="1560" w:hanging="482"/>
        <w:jc w:val="both"/>
        <w:rPr>
          <w:rFonts w:ascii="Times New Roman" w:hAnsi="Times New Roman" w:cs="Times New Roman"/>
          <w:bCs/>
        </w:rPr>
      </w:pPr>
      <w:r w:rsidRPr="00BB74EF">
        <w:rPr>
          <w:rFonts w:ascii="Times New Roman" w:hAnsi="Times New Roman" w:cs="Times New Roman"/>
          <w:bCs/>
        </w:rPr>
        <w:t>辦理簽證及延期手續繁瑣且耗時。</w:t>
      </w:r>
    </w:p>
    <w:p w:rsidR="00690645" w:rsidRPr="00BB74EF" w:rsidRDefault="00690645" w:rsidP="00690645">
      <w:pPr>
        <w:pStyle w:val="Textbodyindent"/>
        <w:numPr>
          <w:ilvl w:val="3"/>
          <w:numId w:val="13"/>
        </w:numPr>
        <w:spacing w:line="440" w:lineRule="exact"/>
        <w:ind w:left="1560" w:hanging="482"/>
        <w:jc w:val="both"/>
        <w:rPr>
          <w:rFonts w:ascii="Times New Roman" w:hAnsi="Times New Roman" w:cs="Times New Roman"/>
          <w:bCs/>
        </w:rPr>
      </w:pPr>
      <w:r w:rsidRPr="00BB74EF">
        <w:rPr>
          <w:rFonts w:ascii="Times New Roman" w:hAnsi="Times New Roman" w:cs="Times New Roman"/>
          <w:bCs/>
        </w:rPr>
        <w:t>僅核發單次簽證予廠商派駐人員，造成出入國之不便等。</w:t>
      </w:r>
    </w:p>
    <w:p w:rsidR="00AA2EFD" w:rsidRPr="00BB74EF" w:rsidRDefault="002B53A6">
      <w:pPr>
        <w:pStyle w:val="Textbodyindent"/>
        <w:spacing w:line="440" w:lineRule="exact"/>
        <w:ind w:left="1401" w:hanging="1401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  <w:b/>
          <w:bCs/>
        </w:rPr>
        <w:t>（十三）其他障礙</w:t>
      </w:r>
      <w:r w:rsidRPr="00BB74EF">
        <w:rPr>
          <w:rFonts w:ascii="Times New Roman" w:hAnsi="Times New Roman" w:cs="Times New Roman"/>
        </w:rPr>
        <w:t>：</w:t>
      </w:r>
    </w:p>
    <w:p w:rsidR="00AA2EFD" w:rsidRPr="00BB74EF" w:rsidRDefault="002B53A6" w:rsidP="000271CB">
      <w:pPr>
        <w:pStyle w:val="Textbodyindent"/>
        <w:spacing w:line="440" w:lineRule="exact"/>
        <w:ind w:left="1078" w:firstLine="39"/>
        <w:jc w:val="both"/>
        <w:rPr>
          <w:rFonts w:ascii="Times New Roman" w:hAnsi="Times New Roman" w:cs="Times New Roman"/>
        </w:rPr>
      </w:pPr>
      <w:r w:rsidRPr="00BB74EF">
        <w:rPr>
          <w:rFonts w:ascii="Times New Roman" w:hAnsi="Times New Roman" w:cs="Times New Roman"/>
        </w:rPr>
        <w:t>凡不屬於上述任</w:t>
      </w:r>
      <w:proofErr w:type="gramStart"/>
      <w:r w:rsidRPr="00BB74EF">
        <w:rPr>
          <w:rFonts w:ascii="Times New Roman" w:hAnsi="Times New Roman" w:cs="Times New Roman"/>
        </w:rPr>
        <w:t>一</w:t>
      </w:r>
      <w:proofErr w:type="gramEnd"/>
      <w:r w:rsidRPr="00BB74EF">
        <w:rPr>
          <w:rFonts w:ascii="Times New Roman" w:hAnsi="Times New Roman" w:cs="Times New Roman"/>
        </w:rPr>
        <w:t>列舉之障礙，例如因商務仲裁制度（程序不公平</w:t>
      </w:r>
      <w:r w:rsidRPr="00BB74EF">
        <w:rPr>
          <w:rFonts w:ascii="Times New Roman" w:hAnsi="Times New Roman" w:cs="Times New Roman"/>
        </w:rPr>
        <w:t>…</w:t>
      </w:r>
      <w:r w:rsidRPr="00BB74EF">
        <w:rPr>
          <w:rFonts w:ascii="Times New Roman" w:hAnsi="Times New Roman" w:cs="Times New Roman"/>
        </w:rPr>
        <w:t>）、代理商（權）制度、外匯管制措施（如禁止外匯交易、收取高額押匯手續費或保</w:t>
      </w:r>
      <w:bookmarkStart w:id="0" w:name="_GoBack"/>
      <w:bookmarkEnd w:id="0"/>
      <w:r w:rsidRPr="00BB74EF">
        <w:rPr>
          <w:rFonts w:ascii="Times New Roman" w:hAnsi="Times New Roman" w:cs="Times New Roman"/>
        </w:rPr>
        <w:t>證金</w:t>
      </w:r>
      <w:r w:rsidRPr="00BB74EF">
        <w:rPr>
          <w:rFonts w:ascii="Times New Roman" w:hAnsi="Times New Roman" w:cs="Times New Roman"/>
        </w:rPr>
        <w:t>…</w:t>
      </w:r>
      <w:r w:rsidRPr="00BB74EF">
        <w:rPr>
          <w:rFonts w:ascii="Times New Roman" w:hAnsi="Times New Roman" w:cs="Times New Roman"/>
        </w:rPr>
        <w:t>）、欠缺雙邊協定保障（如避免雙重課稅、投資保障、暫准通關</w:t>
      </w:r>
      <w:r w:rsidRPr="00BB74EF">
        <w:rPr>
          <w:rFonts w:ascii="Times New Roman" w:hAnsi="Times New Roman" w:cs="Times New Roman"/>
        </w:rPr>
        <w:t>…</w:t>
      </w:r>
      <w:r w:rsidRPr="00BB74EF">
        <w:rPr>
          <w:rFonts w:ascii="Times New Roman" w:hAnsi="Times New Roman" w:cs="Times New Roman"/>
        </w:rPr>
        <w:t>），以致影響國際貿易之進行者均可列入。</w:t>
      </w:r>
    </w:p>
    <w:sectPr w:rsidR="00AA2EFD" w:rsidRPr="00BB74EF">
      <w:footerReference w:type="default" r:id="rId7"/>
      <w:pgSz w:w="11906" w:h="16838"/>
      <w:pgMar w:top="1247" w:right="1797" w:bottom="1304" w:left="1797" w:header="720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60" w:rsidRDefault="00B95C60">
      <w:r>
        <w:separator/>
      </w:r>
    </w:p>
  </w:endnote>
  <w:endnote w:type="continuationSeparator" w:id="0">
    <w:p w:rsidR="00B95C60" w:rsidRDefault="00B9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AD5" w:rsidRDefault="002B53A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66AD5" w:rsidRDefault="002B53A6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0271CB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" stroked="f">
              <v:fill opacity="0"/>
              <v:textbox style="mso-fit-shape-to-text:t" inset="0,0,0,0">
                <w:txbxContent>
                  <w:p w:rsidR="00A66AD5" w:rsidRDefault="002B53A6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0271CB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60" w:rsidRDefault="00B95C60">
      <w:r>
        <w:rPr>
          <w:color w:val="000000"/>
        </w:rPr>
        <w:separator/>
      </w:r>
    </w:p>
  </w:footnote>
  <w:footnote w:type="continuationSeparator" w:id="0">
    <w:p w:rsidR="00B95C60" w:rsidRDefault="00B9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69B8"/>
    <w:multiLevelType w:val="hybridMultilevel"/>
    <w:tmpl w:val="49269C52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9B2421DC">
      <w:start w:val="1"/>
      <w:numFmt w:val="decimal"/>
      <w:lvlText w:val="(%2)"/>
      <w:lvlJc w:val="left"/>
      <w:pPr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15870D36"/>
    <w:multiLevelType w:val="multilevel"/>
    <w:tmpl w:val="EA44E3A8"/>
    <w:styleLink w:val="WWNum1a"/>
    <w:lvl w:ilvl="0">
      <w:start w:val="1"/>
      <w:numFmt w:val="japaneseCounting"/>
      <w:lvlText w:val="(%1)"/>
      <w:lvlJc w:val="left"/>
      <w:pPr>
        <w:ind w:left="1001" w:hanging="720"/>
      </w:pPr>
      <w:rPr>
        <w:rFonts w:ascii="標楷體" w:hAnsi="標楷體" w:cs="Times New Roman"/>
        <w:sz w:val="32"/>
      </w:rPr>
    </w:lvl>
    <w:lvl w:ilvl="1">
      <w:start w:val="1"/>
      <w:numFmt w:val="ideographTraditional"/>
      <w:lvlText w:val="%1.%2、"/>
      <w:lvlJc w:val="left"/>
      <w:pPr>
        <w:ind w:left="1241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721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01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681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161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41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121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01" w:hanging="480"/>
      </w:pPr>
      <w:rPr>
        <w:rFonts w:cs="Times New Roman"/>
      </w:rPr>
    </w:lvl>
  </w:abstractNum>
  <w:abstractNum w:abstractNumId="2" w15:restartNumberingAfterBreak="0">
    <w:nsid w:val="16B85838"/>
    <w:multiLevelType w:val="multilevel"/>
    <w:tmpl w:val="2F508C8C"/>
    <w:styleLink w:val="WWNum2"/>
    <w:lvl w:ilvl="0">
      <w:start w:val="1"/>
      <w:numFmt w:val="decimal"/>
      <w:lvlText w:val="（%1）"/>
      <w:lvlJc w:val="left"/>
      <w:pPr>
        <w:ind w:left="720" w:hanging="72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F48D5"/>
    <w:multiLevelType w:val="multilevel"/>
    <w:tmpl w:val="A7CCA5BC"/>
    <w:styleLink w:val="WWNum3"/>
    <w:lvl w:ilvl="0">
      <w:start w:val="1"/>
      <w:numFmt w:val="decimal"/>
      <w:lvlText w:val="（%1）"/>
      <w:lvlJc w:val="left"/>
      <w:pPr>
        <w:ind w:left="720" w:hanging="72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7339F2"/>
    <w:multiLevelType w:val="hybridMultilevel"/>
    <w:tmpl w:val="6B8432BA"/>
    <w:lvl w:ilvl="0" w:tplc="9B2421D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906DD"/>
    <w:multiLevelType w:val="hybridMultilevel"/>
    <w:tmpl w:val="FAE48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1D0FC5"/>
    <w:multiLevelType w:val="multilevel"/>
    <w:tmpl w:val="4D32DB6A"/>
    <w:styleLink w:val="WWNum6"/>
    <w:lvl w:ilvl="0">
      <w:start w:val="1"/>
      <w:numFmt w:val="decimal"/>
      <w:lvlText w:val="（%1）"/>
      <w:lvlJc w:val="left"/>
      <w:pPr>
        <w:ind w:left="1575" w:hanging="72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7" w15:restartNumberingAfterBreak="0">
    <w:nsid w:val="4BD908FE"/>
    <w:multiLevelType w:val="multilevel"/>
    <w:tmpl w:val="311C4A36"/>
    <w:styleLink w:val="WW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425030"/>
    <w:multiLevelType w:val="multilevel"/>
    <w:tmpl w:val="F72E436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1F178A"/>
    <w:multiLevelType w:val="hybridMultilevel"/>
    <w:tmpl w:val="7FB01860"/>
    <w:lvl w:ilvl="0" w:tplc="0409000F">
      <w:start w:val="1"/>
      <w:numFmt w:val="decimal"/>
      <w:lvlText w:val="%1."/>
      <w:lvlJc w:val="left"/>
      <w:pPr>
        <w:ind w:left="13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0" w15:restartNumberingAfterBreak="0">
    <w:nsid w:val="63371225"/>
    <w:multiLevelType w:val="hybridMultilevel"/>
    <w:tmpl w:val="805E1410"/>
    <w:lvl w:ilvl="0" w:tplc="0409000F">
      <w:start w:val="1"/>
      <w:numFmt w:val="decimal"/>
      <w:lvlText w:val="%1."/>
      <w:lvlJc w:val="left"/>
      <w:pPr>
        <w:ind w:left="15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11" w15:restartNumberingAfterBreak="0">
    <w:nsid w:val="638417BB"/>
    <w:multiLevelType w:val="multilevel"/>
    <w:tmpl w:val="340AA9B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702919B5"/>
    <w:multiLevelType w:val="multilevel"/>
    <w:tmpl w:val="9A5058BC"/>
    <w:styleLink w:val="WWNum1"/>
    <w:lvl w:ilvl="0">
      <w:start w:val="1"/>
      <w:numFmt w:val="japaneseCounting"/>
      <w:lvlText w:val="(%1)"/>
      <w:lvlJc w:val="left"/>
      <w:pPr>
        <w:ind w:left="1001" w:hanging="720"/>
      </w:p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11"/>
  </w:num>
  <w:num w:numId="2">
    <w:abstractNumId w:val="12"/>
    <w:lvlOverride w:ilvl="0">
      <w:lvl w:ilvl="0">
        <w:start w:val="1"/>
        <w:numFmt w:val="japaneseCounting"/>
        <w:lvlText w:val="(%1)"/>
        <w:lvlJc w:val="left"/>
        <w:pPr>
          <w:ind w:left="1001" w:hanging="720"/>
        </w:pPr>
        <w:rPr>
          <w:rFonts w:ascii="標楷體" w:eastAsia="標楷體" w:hAnsi="標楷體"/>
          <w:sz w:val="28"/>
          <w:szCs w:val="28"/>
        </w:rPr>
      </w:lvl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2"/>
    <w:lvlOverride w:ilvl="0">
      <w:startOverride w:val="1"/>
      <w:lvl w:ilvl="0">
        <w:start w:val="1"/>
        <w:numFmt w:val="japaneseCounting"/>
        <w:lvlText w:val="(%1)"/>
        <w:lvlJc w:val="left"/>
        <w:pPr>
          <w:ind w:left="1001" w:hanging="720"/>
        </w:pPr>
        <w:rPr>
          <w:sz w:val="28"/>
          <w:szCs w:val="28"/>
        </w:rPr>
      </w:lvl>
    </w:lvlOverride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FD"/>
    <w:rsid w:val="000271CB"/>
    <w:rsid w:val="001544D4"/>
    <w:rsid w:val="002B53A6"/>
    <w:rsid w:val="004A759B"/>
    <w:rsid w:val="00690645"/>
    <w:rsid w:val="0072004F"/>
    <w:rsid w:val="00846DC9"/>
    <w:rsid w:val="00855501"/>
    <w:rsid w:val="00A80189"/>
    <w:rsid w:val="00AA2EFD"/>
    <w:rsid w:val="00B95C60"/>
    <w:rsid w:val="00BB74EF"/>
    <w:rsid w:val="00BE41E1"/>
    <w:rsid w:val="00C346B7"/>
    <w:rsid w:val="00C66B9E"/>
    <w:rsid w:val="00F12CEE"/>
    <w:rsid w:val="00F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F07B4B-D8C6-4BB3-A391-FA5F8D4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680" w:hanging="1680"/>
    </w:pPr>
    <w:rPr>
      <w:rFonts w:ascii="標楷體" w:eastAsia="標楷體" w:hAnsi="標楷體" w:cs="標楷體"/>
      <w:sz w:val="28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  <w:spacing w:line="360" w:lineRule="atLeast"/>
    </w:pPr>
    <w:rPr>
      <w:kern w:val="0"/>
      <w:sz w:val="20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10">
    <w:name w:val="表格內文1"/>
    <w:pPr>
      <w:widowControl/>
      <w:suppressAutoHyphens/>
      <w:textAlignment w:val="auto"/>
    </w:pPr>
  </w:style>
  <w:style w:type="character" w:styleId="a8">
    <w:name w:val="page number"/>
    <w:basedOn w:val="a0"/>
  </w:style>
  <w:style w:type="character" w:customStyle="1" w:styleId="a9">
    <w:name w:val="頁首 字元"/>
    <w:basedOn w:val="a0"/>
    <w:rPr>
      <w:kern w:val="3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ascii="標楷體" w:eastAsia="標楷體" w:hAnsi="標楷體" w:cs="Times New Roman"/>
      <w:sz w:val="3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14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1a">
    <w:name w:val="WWNum1a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填報各國對台貿易障礙報告應注意事項及相關說明</dc:title>
  <dc:creator>cswang</dc:creator>
  <cp:lastModifiedBy>王琳</cp:lastModifiedBy>
  <cp:revision>3</cp:revision>
  <cp:lastPrinted>2024-01-05T01:34:00Z</cp:lastPrinted>
  <dcterms:created xsi:type="dcterms:W3CDTF">2025-12-17T02:49:00Z</dcterms:created>
  <dcterms:modified xsi:type="dcterms:W3CDTF">2025-12-17T02:53:00Z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dmboft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